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9C" w:rsidRPr="00DC0995" w:rsidRDefault="00DC0995" w:rsidP="00DC0995">
      <w:pPr>
        <w:jc w:val="center"/>
        <w:rPr>
          <w:rFonts w:ascii="Arial" w:hAnsi="Arial" w:cs="Arial"/>
          <w:sz w:val="24"/>
          <w:szCs w:val="24"/>
        </w:rPr>
      </w:pPr>
      <w:r w:rsidRPr="00DC0995">
        <w:rPr>
          <w:rFonts w:ascii="Arial" w:hAnsi="Arial" w:cs="Arial"/>
          <w:sz w:val="24"/>
          <w:szCs w:val="24"/>
        </w:rPr>
        <w:t>Stone Bridge High School-9 Weeks Plan Overview</w:t>
      </w:r>
    </w:p>
    <w:p w:rsidR="00DC0995" w:rsidRDefault="00DC0995" w:rsidP="00DC0995">
      <w:pPr>
        <w:rPr>
          <w:rFonts w:ascii="Arial" w:hAnsi="Arial" w:cs="Arial"/>
          <w:sz w:val="20"/>
          <w:szCs w:val="20"/>
        </w:rPr>
      </w:pPr>
      <w:r w:rsidRPr="00606FD1">
        <w:rPr>
          <w:rFonts w:ascii="Arial" w:hAnsi="Arial" w:cs="Arial"/>
          <w:sz w:val="20"/>
          <w:szCs w:val="20"/>
        </w:rPr>
        <w:t xml:space="preserve">This 9 weeks plan is designed to provide a snapshot of topics and standards that are being covered in subjects for each quarter.  Where there are multiple teachers on a Common Learning Team, the team is responsible for submitting one plan.  This information also should be placed in Clarity (follow the template design provided by </w:t>
      </w:r>
      <w:proofErr w:type="spellStart"/>
      <w:r w:rsidRPr="00606FD1">
        <w:rPr>
          <w:rFonts w:ascii="Arial" w:hAnsi="Arial" w:cs="Arial"/>
          <w:sz w:val="20"/>
          <w:szCs w:val="20"/>
        </w:rPr>
        <w:t>Andi</w:t>
      </w:r>
      <w:proofErr w:type="spellEnd"/>
      <w:r w:rsidRPr="00606F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FD1">
        <w:rPr>
          <w:rFonts w:ascii="Arial" w:hAnsi="Arial" w:cs="Arial"/>
          <w:sz w:val="20"/>
          <w:szCs w:val="20"/>
        </w:rPr>
        <w:t>Rounsley</w:t>
      </w:r>
      <w:proofErr w:type="spellEnd"/>
      <w:r w:rsidRPr="00606FD1">
        <w:rPr>
          <w:rFonts w:ascii="Arial" w:hAnsi="Arial" w:cs="Arial"/>
          <w:sz w:val="20"/>
          <w:szCs w:val="20"/>
        </w:rPr>
        <w:t xml:space="preserve">) to provide students and parents insight into planned topics and planned assessments as an important form of communications to keep them aware.   </w:t>
      </w:r>
    </w:p>
    <w:p w:rsidR="00606FD1" w:rsidRPr="00606FD1" w:rsidRDefault="002D4FAD" w:rsidP="002D4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Teacher </w:t>
      </w:r>
      <w:bookmarkStart w:id="0" w:name="_GoBack"/>
      <w:bookmarkEnd w:id="0"/>
      <w:r w:rsidR="00606FD1">
        <w:rPr>
          <w:rFonts w:ascii="Arial" w:hAnsi="Arial" w:cs="Arial"/>
          <w:sz w:val="20"/>
          <w:szCs w:val="20"/>
        </w:rPr>
        <w:t>or CLT Membe</w:t>
      </w:r>
      <w:r>
        <w:rPr>
          <w:rFonts w:ascii="Arial" w:hAnsi="Arial" w:cs="Arial"/>
          <w:sz w:val="20"/>
          <w:szCs w:val="20"/>
        </w:rPr>
        <w:t xml:space="preserve">rs: Bob </w:t>
      </w:r>
      <w:proofErr w:type="spellStart"/>
      <w:r>
        <w:rPr>
          <w:rFonts w:ascii="Arial" w:hAnsi="Arial" w:cs="Arial"/>
          <w:sz w:val="20"/>
          <w:szCs w:val="20"/>
        </w:rPr>
        <w:t>Mandes</w:t>
      </w:r>
      <w:proofErr w:type="spellEnd"/>
      <w:r>
        <w:rPr>
          <w:rFonts w:ascii="Arial" w:hAnsi="Arial" w:cs="Arial"/>
          <w:sz w:val="20"/>
          <w:szCs w:val="20"/>
        </w:rPr>
        <w:t xml:space="preserve">, Aaron Dobbs, and </w:t>
      </w:r>
      <w:r w:rsidR="00B40AF1">
        <w:rPr>
          <w:rFonts w:ascii="Arial" w:hAnsi="Arial" w:cs="Arial"/>
          <w:sz w:val="20"/>
          <w:szCs w:val="20"/>
        </w:rPr>
        <w:t xml:space="preserve">Renee </w:t>
      </w:r>
      <w:proofErr w:type="spellStart"/>
      <w:r w:rsidR="00AF7CF6">
        <w:rPr>
          <w:rFonts w:ascii="Arial" w:hAnsi="Arial" w:cs="Arial"/>
          <w:sz w:val="20"/>
          <w:szCs w:val="20"/>
        </w:rPr>
        <w:t>W</w:t>
      </w:r>
      <w:r w:rsidR="00B40AF1">
        <w:rPr>
          <w:rFonts w:ascii="Arial" w:hAnsi="Arial" w:cs="Arial"/>
          <w:sz w:val="20"/>
          <w:szCs w:val="20"/>
        </w:rPr>
        <w:t>hitmire</w:t>
      </w:r>
      <w:proofErr w:type="spellEnd"/>
    </w:p>
    <w:p w:rsidR="00606FD1" w:rsidRDefault="00606FD1" w:rsidP="00606FD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 w:rsidR="00AF7CF6">
        <w:t xml:space="preserve"> Unit to include *</w:t>
      </w:r>
      <w:proofErr w:type="gramStart"/>
      <w:r w:rsidR="00AF7CF6">
        <w:t>*(</w:t>
      </w:r>
      <w:proofErr w:type="gramEnd"/>
      <w:r w:rsidR="00AF7CF6">
        <w:t>+-) 2 minor labs, activities, (+-) 2-3 minor online assessments per teacher and various in class monitoring opportunities</w:t>
      </w:r>
      <w:r>
        <w:tab/>
      </w:r>
      <w:r>
        <w:tab/>
      </w:r>
      <w:r>
        <w:tab/>
      </w:r>
      <w:r>
        <w:tab/>
      </w:r>
      <w:r>
        <w:tab/>
      </w:r>
    </w:p>
    <w:p w:rsidR="00606FD1" w:rsidRPr="00E51C5A" w:rsidRDefault="00606FD1" w:rsidP="0060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51C5A">
        <w:rPr>
          <w:rFonts w:ascii="Arial" w:hAnsi="Arial" w:cs="Arial"/>
          <w:b/>
        </w:rPr>
        <w:t>Course</w:t>
      </w:r>
      <w:r w:rsidR="00B40AF1">
        <w:rPr>
          <w:rFonts w:ascii="Arial" w:hAnsi="Arial" w:cs="Arial"/>
          <w:b/>
        </w:rPr>
        <w:t>- Chemistry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430"/>
        <w:gridCol w:w="3690"/>
        <w:gridCol w:w="2178"/>
      </w:tblGrid>
      <w:tr w:rsidR="00606FD1" w:rsidTr="0060065F">
        <w:tc>
          <w:tcPr>
            <w:tcW w:w="1278" w:type="dxa"/>
          </w:tcPr>
          <w:p w:rsidR="00606FD1" w:rsidRPr="00E51C5A" w:rsidRDefault="00606FD1" w:rsidP="00F45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C5A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  <w:p w:rsidR="00606FD1" w:rsidRPr="00E51C5A" w:rsidRDefault="00606FD1" w:rsidP="00F45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606FD1" w:rsidRDefault="00606FD1" w:rsidP="00F45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C5A">
              <w:rPr>
                <w:rFonts w:ascii="Arial" w:hAnsi="Arial" w:cs="Arial"/>
                <w:b/>
                <w:sz w:val="20"/>
                <w:szCs w:val="20"/>
              </w:rPr>
              <w:t>Standard/SOL</w:t>
            </w:r>
          </w:p>
          <w:p w:rsidR="00B40AF1" w:rsidRPr="00E51C5A" w:rsidRDefault="00B40AF1" w:rsidP="00F45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606FD1" w:rsidRDefault="00606FD1" w:rsidP="00F45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C5A">
              <w:rPr>
                <w:rFonts w:ascii="Arial" w:hAnsi="Arial" w:cs="Arial"/>
                <w:b/>
                <w:sz w:val="20"/>
                <w:szCs w:val="20"/>
              </w:rPr>
              <w:t>Topics</w:t>
            </w:r>
          </w:p>
          <w:p w:rsidR="00B40AF1" w:rsidRPr="00E51C5A" w:rsidRDefault="00B40AF1" w:rsidP="00B40A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</w:tcPr>
          <w:p w:rsidR="00606FD1" w:rsidRPr="00E51C5A" w:rsidRDefault="00606FD1" w:rsidP="00F45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C5A">
              <w:rPr>
                <w:rFonts w:ascii="Arial" w:hAnsi="Arial" w:cs="Arial"/>
                <w:b/>
                <w:sz w:val="20"/>
                <w:szCs w:val="20"/>
              </w:rPr>
              <w:t>Tentative Planned Dates for Summative Assessments</w:t>
            </w:r>
          </w:p>
        </w:tc>
      </w:tr>
      <w:tr w:rsidR="00606FD1" w:rsidTr="0060065F">
        <w:tc>
          <w:tcPr>
            <w:tcW w:w="1278" w:type="dxa"/>
          </w:tcPr>
          <w:p w:rsidR="00606FD1" w:rsidRPr="00B40AF1" w:rsidRDefault="00B40AF1" w:rsidP="00DC0995">
            <w:pPr>
              <w:rPr>
                <w:rFonts w:ascii="Arial" w:hAnsi="Arial" w:cs="Arial"/>
              </w:rPr>
            </w:pPr>
            <w:r w:rsidRPr="00B40AF1">
              <w:rPr>
                <w:rFonts w:ascii="Arial" w:hAnsi="Arial" w:cs="Arial"/>
              </w:rPr>
              <w:t>9/3-16</w:t>
            </w:r>
          </w:p>
          <w:p w:rsidR="00606FD1" w:rsidRDefault="00606FD1" w:rsidP="00DC0995">
            <w:pPr>
              <w:rPr>
                <w:rFonts w:ascii="Arial" w:hAnsi="Arial" w:cs="Arial"/>
              </w:rPr>
            </w:pPr>
          </w:p>
          <w:p w:rsidR="00606FD1" w:rsidRDefault="00606FD1" w:rsidP="00DC099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06FD1" w:rsidRDefault="00B40AF1" w:rsidP="00DC0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2h, (#1-j)</w:t>
            </w:r>
          </w:p>
        </w:tc>
        <w:tc>
          <w:tcPr>
            <w:tcW w:w="3690" w:type="dxa"/>
          </w:tcPr>
          <w:p w:rsidR="00606FD1" w:rsidRDefault="00B40AF1" w:rsidP="00B40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Foundations and Matter, Atomic Structure</w:t>
            </w:r>
          </w:p>
        </w:tc>
        <w:tc>
          <w:tcPr>
            <w:tcW w:w="2178" w:type="dxa"/>
          </w:tcPr>
          <w:p w:rsidR="00606FD1" w:rsidRDefault="00606FD1" w:rsidP="00DC0995">
            <w:pPr>
              <w:rPr>
                <w:rFonts w:ascii="Arial" w:hAnsi="Arial" w:cs="Arial"/>
              </w:rPr>
            </w:pPr>
          </w:p>
        </w:tc>
      </w:tr>
      <w:tr w:rsidR="00606FD1" w:rsidTr="0060065F">
        <w:tc>
          <w:tcPr>
            <w:tcW w:w="1278" w:type="dxa"/>
          </w:tcPr>
          <w:p w:rsidR="00606FD1" w:rsidRDefault="00606FD1" w:rsidP="00DC0995">
            <w:pPr>
              <w:rPr>
                <w:rFonts w:ascii="Arial" w:hAnsi="Arial" w:cs="Arial"/>
              </w:rPr>
            </w:pPr>
          </w:p>
          <w:p w:rsidR="00606FD1" w:rsidRDefault="00B40AF1" w:rsidP="00DC0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9/17,18</w:t>
            </w:r>
          </w:p>
          <w:p w:rsidR="00606FD1" w:rsidRDefault="00606FD1" w:rsidP="00DC099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06FD1" w:rsidRDefault="00606FD1" w:rsidP="00DC099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606FD1" w:rsidRPr="00AF7CF6" w:rsidRDefault="00B40AF1" w:rsidP="00DC099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F7CF6">
              <w:rPr>
                <w:rFonts w:ascii="Arial" w:hAnsi="Arial" w:cs="Arial"/>
                <w:b/>
                <w:i/>
              </w:rPr>
              <w:t xml:space="preserve">Major Common </w:t>
            </w:r>
            <w:r w:rsidR="006C75B9" w:rsidRPr="00AF7CF6">
              <w:rPr>
                <w:rFonts w:ascii="Arial" w:hAnsi="Arial" w:cs="Arial"/>
                <w:b/>
                <w:i/>
              </w:rPr>
              <w:t>Assessment</w:t>
            </w:r>
            <w:r w:rsidRPr="00AF7CF6">
              <w:rPr>
                <w:rFonts w:ascii="Arial" w:hAnsi="Arial" w:cs="Arial"/>
                <w:b/>
                <w:i/>
              </w:rPr>
              <w:t xml:space="preserve"> I</w:t>
            </w:r>
          </w:p>
        </w:tc>
        <w:tc>
          <w:tcPr>
            <w:tcW w:w="2178" w:type="dxa"/>
          </w:tcPr>
          <w:p w:rsidR="00606FD1" w:rsidRDefault="00B40AF1" w:rsidP="00DC0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9/17,18</w:t>
            </w:r>
          </w:p>
        </w:tc>
      </w:tr>
      <w:tr w:rsidR="00606FD1" w:rsidTr="0060065F">
        <w:tc>
          <w:tcPr>
            <w:tcW w:w="1278" w:type="dxa"/>
          </w:tcPr>
          <w:p w:rsidR="00606FD1" w:rsidRDefault="00B40AF1" w:rsidP="00DC0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9/20-30 </w:t>
            </w:r>
          </w:p>
          <w:p w:rsidR="00606FD1" w:rsidRDefault="00606FD1" w:rsidP="00DC0995">
            <w:pPr>
              <w:rPr>
                <w:rFonts w:ascii="Arial" w:hAnsi="Arial" w:cs="Arial"/>
              </w:rPr>
            </w:pPr>
          </w:p>
          <w:p w:rsidR="00606FD1" w:rsidRDefault="00606FD1" w:rsidP="00DC099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06FD1" w:rsidRPr="00B40AF1" w:rsidRDefault="00B40AF1" w:rsidP="00B40A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2g,I (1 a-j)</w:t>
            </w:r>
          </w:p>
        </w:tc>
        <w:tc>
          <w:tcPr>
            <w:tcW w:w="3690" w:type="dxa"/>
          </w:tcPr>
          <w:p w:rsidR="00606FD1" w:rsidRDefault="00B40AF1" w:rsidP="00B40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 Atomic Theory, Trends, Periodic Table</w:t>
            </w:r>
          </w:p>
        </w:tc>
        <w:tc>
          <w:tcPr>
            <w:tcW w:w="2178" w:type="dxa"/>
          </w:tcPr>
          <w:p w:rsidR="00606FD1" w:rsidRDefault="00606FD1" w:rsidP="00DC0995">
            <w:pPr>
              <w:rPr>
                <w:rFonts w:ascii="Arial" w:hAnsi="Arial" w:cs="Arial"/>
              </w:rPr>
            </w:pPr>
          </w:p>
        </w:tc>
      </w:tr>
      <w:tr w:rsidR="00606FD1" w:rsidTr="0060065F">
        <w:tc>
          <w:tcPr>
            <w:tcW w:w="1278" w:type="dxa"/>
          </w:tcPr>
          <w:p w:rsidR="00606FD1" w:rsidRDefault="006C75B9" w:rsidP="00DC0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10/1,2</w:t>
            </w:r>
          </w:p>
          <w:p w:rsidR="00606FD1" w:rsidRDefault="00606FD1" w:rsidP="00DC0995">
            <w:pPr>
              <w:rPr>
                <w:rFonts w:ascii="Arial" w:hAnsi="Arial" w:cs="Arial"/>
              </w:rPr>
            </w:pPr>
          </w:p>
          <w:p w:rsidR="00606FD1" w:rsidRDefault="00606FD1" w:rsidP="00DC099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06FD1" w:rsidRDefault="00606FD1" w:rsidP="00DC099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606FD1" w:rsidRPr="00AF7CF6" w:rsidRDefault="006C75B9" w:rsidP="00DC0995">
            <w:pPr>
              <w:rPr>
                <w:rFonts w:ascii="Arial" w:hAnsi="Arial" w:cs="Arial"/>
                <w:b/>
                <w:i/>
              </w:rPr>
            </w:pPr>
            <w:r w:rsidRPr="00AF7CF6">
              <w:rPr>
                <w:rFonts w:ascii="Arial" w:hAnsi="Arial" w:cs="Arial"/>
                <w:b/>
                <w:i/>
              </w:rPr>
              <w:t>Major Common Assessment II</w:t>
            </w:r>
          </w:p>
        </w:tc>
        <w:tc>
          <w:tcPr>
            <w:tcW w:w="2178" w:type="dxa"/>
          </w:tcPr>
          <w:p w:rsidR="00606FD1" w:rsidRDefault="006C75B9" w:rsidP="00DC0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10/1,2</w:t>
            </w:r>
          </w:p>
        </w:tc>
      </w:tr>
      <w:tr w:rsidR="00606FD1" w:rsidTr="0060065F">
        <w:tc>
          <w:tcPr>
            <w:tcW w:w="1278" w:type="dxa"/>
          </w:tcPr>
          <w:p w:rsidR="00606FD1" w:rsidRDefault="006C75B9" w:rsidP="00DC0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10/3-25</w:t>
            </w:r>
          </w:p>
          <w:p w:rsidR="00606FD1" w:rsidRDefault="00606FD1" w:rsidP="00DC0995">
            <w:pPr>
              <w:rPr>
                <w:rFonts w:ascii="Arial" w:hAnsi="Arial" w:cs="Arial"/>
              </w:rPr>
            </w:pPr>
          </w:p>
          <w:p w:rsidR="00606FD1" w:rsidRDefault="00606FD1" w:rsidP="00DC099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06FD1" w:rsidRPr="006C75B9" w:rsidRDefault="006C75B9" w:rsidP="00DC09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3c,d; (1a-j)</w:t>
            </w:r>
          </w:p>
        </w:tc>
        <w:tc>
          <w:tcPr>
            <w:tcW w:w="3690" w:type="dxa"/>
          </w:tcPr>
          <w:p w:rsidR="00606FD1" w:rsidRDefault="006C75B9" w:rsidP="006C7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Bonding (Ionic, Covalent, metallic), IMF’s, Lewis Structures</w:t>
            </w:r>
          </w:p>
        </w:tc>
        <w:tc>
          <w:tcPr>
            <w:tcW w:w="2178" w:type="dxa"/>
          </w:tcPr>
          <w:p w:rsidR="00606FD1" w:rsidRDefault="00606FD1" w:rsidP="00DC0995">
            <w:pPr>
              <w:rPr>
                <w:rFonts w:ascii="Arial" w:hAnsi="Arial" w:cs="Arial"/>
              </w:rPr>
            </w:pPr>
          </w:p>
        </w:tc>
      </w:tr>
      <w:tr w:rsidR="00606FD1" w:rsidTr="0060065F">
        <w:tc>
          <w:tcPr>
            <w:tcW w:w="1278" w:type="dxa"/>
          </w:tcPr>
          <w:p w:rsidR="00606FD1" w:rsidRDefault="006C75B9" w:rsidP="00DC0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10/28,29</w:t>
            </w:r>
          </w:p>
          <w:p w:rsidR="00606FD1" w:rsidRDefault="00606FD1" w:rsidP="00DC0995">
            <w:pPr>
              <w:rPr>
                <w:rFonts w:ascii="Arial" w:hAnsi="Arial" w:cs="Arial"/>
              </w:rPr>
            </w:pPr>
          </w:p>
          <w:p w:rsidR="00606FD1" w:rsidRDefault="00606FD1" w:rsidP="00DC099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06FD1" w:rsidRDefault="00606FD1" w:rsidP="00DC099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606FD1" w:rsidRPr="00AF7CF6" w:rsidRDefault="006C75B9" w:rsidP="00DC0995">
            <w:pPr>
              <w:rPr>
                <w:rFonts w:ascii="Arial" w:hAnsi="Arial" w:cs="Arial"/>
                <w:b/>
                <w:i/>
              </w:rPr>
            </w:pPr>
            <w:r w:rsidRPr="00AF7CF6">
              <w:rPr>
                <w:rFonts w:ascii="Arial" w:hAnsi="Arial" w:cs="Arial"/>
                <w:b/>
                <w:i/>
              </w:rPr>
              <w:t>Major Assessment III</w:t>
            </w:r>
          </w:p>
        </w:tc>
        <w:tc>
          <w:tcPr>
            <w:tcW w:w="2178" w:type="dxa"/>
          </w:tcPr>
          <w:p w:rsidR="00606FD1" w:rsidRDefault="006C75B9" w:rsidP="00DC0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10/28,29</w:t>
            </w:r>
          </w:p>
        </w:tc>
      </w:tr>
      <w:tr w:rsidR="00606FD1" w:rsidTr="0060065F">
        <w:tc>
          <w:tcPr>
            <w:tcW w:w="1278" w:type="dxa"/>
          </w:tcPr>
          <w:p w:rsidR="00606FD1" w:rsidRDefault="00606FD1" w:rsidP="00612C0F">
            <w:pPr>
              <w:rPr>
                <w:rFonts w:ascii="Arial" w:hAnsi="Arial" w:cs="Arial"/>
              </w:rPr>
            </w:pPr>
          </w:p>
          <w:p w:rsidR="00606FD1" w:rsidRDefault="00606FD1" w:rsidP="00612C0F">
            <w:pPr>
              <w:rPr>
                <w:rFonts w:ascii="Arial" w:hAnsi="Arial" w:cs="Arial"/>
              </w:rPr>
            </w:pPr>
          </w:p>
          <w:p w:rsidR="00606FD1" w:rsidRDefault="00606FD1" w:rsidP="00612C0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06FD1" w:rsidRDefault="00606FD1" w:rsidP="00612C0F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606FD1" w:rsidRDefault="00606FD1" w:rsidP="00612C0F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606FD1" w:rsidRDefault="00606FD1" w:rsidP="00612C0F">
            <w:pPr>
              <w:rPr>
                <w:rFonts w:ascii="Arial" w:hAnsi="Arial" w:cs="Arial"/>
              </w:rPr>
            </w:pPr>
          </w:p>
        </w:tc>
      </w:tr>
      <w:tr w:rsidR="00606FD1" w:rsidTr="0060065F">
        <w:tc>
          <w:tcPr>
            <w:tcW w:w="1278" w:type="dxa"/>
          </w:tcPr>
          <w:p w:rsidR="00606FD1" w:rsidRDefault="00606FD1" w:rsidP="00612C0F">
            <w:pPr>
              <w:rPr>
                <w:rFonts w:ascii="Arial" w:hAnsi="Arial" w:cs="Arial"/>
              </w:rPr>
            </w:pPr>
          </w:p>
          <w:p w:rsidR="00606FD1" w:rsidRDefault="00606FD1" w:rsidP="00612C0F">
            <w:pPr>
              <w:rPr>
                <w:rFonts w:ascii="Arial" w:hAnsi="Arial" w:cs="Arial"/>
              </w:rPr>
            </w:pPr>
          </w:p>
          <w:p w:rsidR="00606FD1" w:rsidRDefault="00606FD1" w:rsidP="00612C0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06FD1" w:rsidRDefault="00606FD1" w:rsidP="00612C0F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606FD1" w:rsidRDefault="00606FD1" w:rsidP="00612C0F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606FD1" w:rsidRDefault="00606FD1" w:rsidP="00612C0F">
            <w:pPr>
              <w:rPr>
                <w:rFonts w:ascii="Arial" w:hAnsi="Arial" w:cs="Arial"/>
              </w:rPr>
            </w:pPr>
          </w:p>
        </w:tc>
      </w:tr>
      <w:tr w:rsidR="00606FD1" w:rsidTr="0060065F">
        <w:tc>
          <w:tcPr>
            <w:tcW w:w="1278" w:type="dxa"/>
          </w:tcPr>
          <w:p w:rsidR="00606FD1" w:rsidRDefault="00606FD1" w:rsidP="00612C0F">
            <w:pPr>
              <w:rPr>
                <w:rFonts w:ascii="Arial" w:hAnsi="Arial" w:cs="Arial"/>
              </w:rPr>
            </w:pPr>
          </w:p>
          <w:p w:rsidR="00606FD1" w:rsidRDefault="00606FD1" w:rsidP="00612C0F">
            <w:pPr>
              <w:rPr>
                <w:rFonts w:ascii="Arial" w:hAnsi="Arial" w:cs="Arial"/>
              </w:rPr>
            </w:pPr>
          </w:p>
          <w:p w:rsidR="00606FD1" w:rsidRDefault="00606FD1" w:rsidP="00612C0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06FD1" w:rsidRDefault="00606FD1" w:rsidP="00612C0F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606FD1" w:rsidRDefault="00606FD1" w:rsidP="00612C0F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606FD1" w:rsidRDefault="00606FD1" w:rsidP="00612C0F">
            <w:pPr>
              <w:rPr>
                <w:rFonts w:ascii="Arial" w:hAnsi="Arial" w:cs="Arial"/>
              </w:rPr>
            </w:pPr>
          </w:p>
        </w:tc>
      </w:tr>
      <w:tr w:rsidR="00606FD1" w:rsidTr="0060065F">
        <w:tc>
          <w:tcPr>
            <w:tcW w:w="1278" w:type="dxa"/>
          </w:tcPr>
          <w:p w:rsidR="00606FD1" w:rsidRDefault="00606FD1" w:rsidP="00612C0F">
            <w:pPr>
              <w:rPr>
                <w:rFonts w:ascii="Arial" w:hAnsi="Arial" w:cs="Arial"/>
              </w:rPr>
            </w:pPr>
          </w:p>
          <w:p w:rsidR="00606FD1" w:rsidRDefault="00606FD1" w:rsidP="00612C0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06FD1" w:rsidRDefault="00606FD1" w:rsidP="00612C0F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606FD1" w:rsidRDefault="00606FD1" w:rsidP="00612C0F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606FD1" w:rsidRDefault="00606FD1" w:rsidP="00612C0F">
            <w:pPr>
              <w:rPr>
                <w:rFonts w:ascii="Arial" w:hAnsi="Arial" w:cs="Arial"/>
              </w:rPr>
            </w:pPr>
          </w:p>
        </w:tc>
      </w:tr>
    </w:tbl>
    <w:p w:rsidR="00606FD1" w:rsidRPr="00DC0995" w:rsidRDefault="00606FD1" w:rsidP="00DC0995">
      <w:pPr>
        <w:rPr>
          <w:rFonts w:ascii="Arial" w:hAnsi="Arial" w:cs="Arial"/>
        </w:rPr>
      </w:pPr>
    </w:p>
    <w:sectPr w:rsidR="00606FD1" w:rsidRPr="00DC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2D4FAD"/>
    <w:rsid w:val="004F28A2"/>
    <w:rsid w:val="005E07A7"/>
    <w:rsid w:val="0060065F"/>
    <w:rsid w:val="00606FD1"/>
    <w:rsid w:val="006C75B9"/>
    <w:rsid w:val="00AF7CF6"/>
    <w:rsid w:val="00B40AF1"/>
    <w:rsid w:val="00D8439C"/>
    <w:rsid w:val="00DC0995"/>
    <w:rsid w:val="00E51C5A"/>
    <w:rsid w:val="00F4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0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7C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0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7C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jperson</dc:creator>
  <cp:lastModifiedBy>LCPS</cp:lastModifiedBy>
  <cp:revision>2</cp:revision>
  <cp:lastPrinted>2013-08-20T12:10:00Z</cp:lastPrinted>
  <dcterms:created xsi:type="dcterms:W3CDTF">2013-08-29T15:00:00Z</dcterms:created>
  <dcterms:modified xsi:type="dcterms:W3CDTF">2013-08-29T15:00:00Z</dcterms:modified>
</cp:coreProperties>
</file>